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Zásady ochrany osobných údajov</w:t>
      </w:r>
    </w:p>
    <w:p>
      <w:pPr>
        <w:spacing w:after="40"/>
        <w:jc w:val="center"/>
      </w:pPr>
      <w:r>
        <w:rPr>
          <w:color w:val="555555"/>
          <w:sz w:val="24"/>
          <w:szCs w:val="24"/>
        </w:rPr>
        <w:t xml:space="preserve">PochopTo.sk</w:t>
      </w:r>
    </w:p>
    <w:p>
      <w:pPr>
        <w:spacing w:after="240"/>
        <w:jc w:val="center"/>
      </w:pPr>
      <w:r>
        <w:rPr>
          <w:i/>
          <w:iCs/>
          <w:color w:val="555555"/>
        </w:rPr>
        <w:t xml:space="preserve">Účinné od: 21.06.2026</w:t>
      </w:r>
    </w:p>
    <w:p>
      <w:pPr>
        <w:spacing w:after="120" w:line="276"/>
      </w:pPr>
      <w:r>
        <w:t xml:space="preserve">Tieto zásady vysvetľujú, ako spoločnosť HRICIŠÁK MD s.r.o. ako prevádzkovateľ spracúva osobné údaje návštevníkov a používateľov webovej stránky pochopto.sk v súlade s nariadením (EÚ) 2016/679 (GDPR) a zákonom č. 18/2018 Z. z. o ochrane osobných údajov.</w:t>
      </w:r>
    </w:p>
    <w:p>
      <w:pPr>
        <w:pStyle w:val="Heading1"/>
      </w:pPr>
      <w:r>
        <w:t xml:space="preserve">1. Prevádzkovateľ</w:t>
      </w:r>
    </w:p>
    <w:p>
      <w:pPr>
        <w:spacing w:after="40"/>
      </w:pPr>
      <w:r>
        <w:rPr>
          <w:b/>
          <w:bCs/>
        </w:rPr>
        <w:t xml:space="preserve">HRICIŠÁK MD s.r.o.</w:t>
      </w:r>
    </w:p>
    <w:p>
      <w:pPr>
        <w:spacing w:after="40"/>
      </w:pPr>
      <w:r>
        <w:t xml:space="preserve">Havanská 5, 040 13 Košice</w:t>
      </w:r>
    </w:p>
    <w:p>
      <w:pPr>
        <w:spacing w:after="40"/>
      </w:pPr>
      <w:r>
        <w:t xml:space="preserve">IČO: 46 602 003, DIČ: 2023478270</w:t>
      </w:r>
    </w:p>
    <w:p>
      <w:pPr>
        <w:spacing w:after="40"/>
      </w:pPr>
      <w:r>
        <w:t xml:space="preserve">Zapísaná v Obchodnom registri Mestského súdu Košice, oddiel Sro, vložka č. 29561/V.</w:t>
      </w:r>
    </w:p>
    <w:p>
      <w:pPr>
        <w:spacing w:after="120" w:line="276"/>
      </w:pPr>
      <w:r>
        <w:t xml:space="preserve">E-mail: info@pochopto.sk, Webové sídlo: www.pochopto.sk</w:t>
      </w:r>
    </w:p>
    <w:p>
      <w:pPr>
        <w:spacing w:after="120" w:line="276"/>
      </w:pPr>
      <w:r>
        <w:t xml:space="preserve">Prevádzkovateľ neurčil zodpovednú osobu (DPO). Vo všetkých záležitostiach týkajúcich sa spracúvania osobných údajov nás môžete kontaktovať na e-mailovej adrese info@pochopto.sk.</w:t>
      </w:r>
    </w:p>
    <w:p>
      <w:pPr>
        <w:pStyle w:val="Heading1"/>
      </w:pPr>
      <w:r>
        <w:t xml:space="preserve">2. Aké osobné údaje spracúvame</w:t>
      </w:r>
    </w:p>
    <w:p>
      <w:pPr>
        <w:spacing w:after="120" w:line="276"/>
      </w:pPr>
      <w:r>
        <w:t xml:space="preserve">V závislosti od spôsobu, akým používate našu webovú stránku, môžeme spracúvať najmä tieto kategórie osobných údajov:</w:t>
      </w:r>
    </w:p>
    <w:p>
      <w:pPr>
        <w:pStyle w:val="ListParagraph"/>
        <w:numPr>
          <w:ilvl w:val="0"/>
          <w:numId w:val="2"/>
        </w:numPr>
        <w:spacing w:after="60" w:line="276"/>
      </w:pPr>
      <w:r>
        <w:t xml:space="preserve">identifikačné a kontaktné údaje: meno a priezvisko, e-mailová adresa,</w:t>
      </w:r>
    </w:p>
    <w:p>
      <w:pPr>
        <w:pStyle w:val="ListParagraph"/>
        <w:numPr>
          <w:ilvl w:val="0"/>
          <w:numId w:val="2"/>
        </w:numPr>
        <w:spacing w:after="60" w:line="276"/>
      </w:pPr>
      <w:r>
        <w:t xml:space="preserve">fakturačné údaje potrebné na vystavenie daňového dokladu,</w:t>
      </w:r>
    </w:p>
    <w:p>
      <w:pPr>
        <w:pStyle w:val="ListParagraph"/>
        <w:numPr>
          <w:ilvl w:val="0"/>
          <w:numId w:val="2"/>
        </w:numPr>
        <w:spacing w:after="60" w:line="276"/>
      </w:pPr>
      <w:r>
        <w:t xml:space="preserve">údaje používateľského účtu: prihlasovacie údaje, nastavenia účtu,</w:t>
      </w:r>
    </w:p>
    <w:p>
      <w:pPr>
        <w:pStyle w:val="ListParagraph"/>
        <w:numPr>
          <w:ilvl w:val="0"/>
          <w:numId w:val="2"/>
        </w:numPr>
        <w:spacing w:after="60" w:line="276"/>
      </w:pPr>
      <w:r>
        <w:t xml:space="preserve">údaje o členstve a jeho využívaní: stav predplatného, história prístupu k členskému obsahu,</w:t>
      </w:r>
    </w:p>
    <w:p>
      <w:pPr>
        <w:pStyle w:val="ListParagraph"/>
        <w:numPr>
          <w:ilvl w:val="0"/>
          <w:numId w:val="2"/>
        </w:numPr>
        <w:spacing w:after="60" w:line="276"/>
      </w:pPr>
      <w:r>
        <w:t xml:space="preserve">technické údaje: IP adresa, údaje o zariadení a prehliadači, údaje z cookies a podobných technológií,</w:t>
      </w:r>
    </w:p>
    <w:p>
      <w:pPr>
        <w:pStyle w:val="ListParagraph"/>
        <w:numPr>
          <w:ilvl w:val="0"/>
          <w:numId w:val="2"/>
        </w:numPr>
        <w:spacing w:after="60" w:line="276"/>
      </w:pPr>
      <w:r>
        <w:t xml:space="preserve">údaje z kontaktných formulárov a komunikácie s nami.</w:t>
      </w:r>
    </w:p>
    <w:p>
      <w:pPr>
        <w:spacing w:after="120" w:line="276"/>
      </w:pPr>
      <w:r>
        <w:rPr>
          <w:b/>
          <w:bCs/>
        </w:rPr>
        <w:t xml:space="preserve">Údaje o platobných kartách neuchovávame ani nespracúvame</w:t>
      </w:r>
      <w:r>
        <w:t xml:space="preserve"> – platby zabezpečuje spoločnosť Stripe (pozri čl. 5 a 6).</w:t>
      </w:r>
    </w:p>
    <w:p>
      <w:pPr>
        <w:pStyle w:val="Heading1"/>
      </w:pPr>
      <w:r>
        <w:t xml:space="preserve">3. Účely spracúvania, právne základy a doby uchovávania</w:t>
      </w:r>
    </w:p>
    <w:p>
      <w:pPr>
        <w:spacing w:after="120" w:line="276"/>
      </w:pPr>
      <w:r>
        <w:t xml:space="preserve">Osobné údaje spracúvame na nasledujúce účely, na uvedených právnych základoch a po nasledujúce doby: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26"/>
      </w:tblGrid>
      <w:tr>
        <w:tc>
          <w:tcPr>
            <w:tcW w:type="dxa" w:w="3000"/>
            <w:tcBorders>
              <w:top w:val="single" w:color="BBBBBB" w:sz="2"/>
              <w:left w:val="single" w:color="BBBBBB" w:sz="2"/>
              <w:bottom w:val="single" w:color="BBBBBB" w:sz="2"/>
              <w:right w:val="single" w:color="BBBBBB" w:sz="2"/>
            </w:tcBorders>
            <w:shd w:fill="E8EDF2" w:val="clear"/>
            <w:tcMar>
              <w:top w:type="dxa" w:w="80"/>
              <w:left w:type="dxa" w:w="120"/>
              <w:bottom w:type="dxa" w:w="80"/>
              <w:right w:type="dxa" w:w="120"/>
            </w:tcMar>
            <w:vAlign w:val="top"/>
          </w:tcPr>
          <w:p>
            <w:r>
              <w:rPr>
                <w:b/>
                <w:bCs/>
                <w:sz w:val="19"/>
                <w:szCs w:val="19"/>
              </w:rPr>
              <w:t xml:space="preserve">Účel spracúvania</w:t>
            </w:r>
          </w:p>
        </w:tc>
        <w:tc>
          <w:tcPr>
            <w:tcW w:type="dxa" w:w="3000"/>
            <w:tcBorders>
              <w:top w:val="single" w:color="BBBBBB" w:sz="2"/>
              <w:left w:val="single" w:color="BBBBBB" w:sz="2"/>
              <w:bottom w:val="single" w:color="BBBBBB" w:sz="2"/>
              <w:right w:val="single" w:color="BBBBBB" w:sz="2"/>
            </w:tcBorders>
            <w:shd w:fill="E8EDF2" w:val="clear"/>
            <w:tcMar>
              <w:top w:type="dxa" w:w="80"/>
              <w:left w:type="dxa" w:w="120"/>
              <w:bottom w:type="dxa" w:w="80"/>
              <w:right w:type="dxa" w:w="120"/>
            </w:tcMar>
            <w:vAlign w:val="top"/>
          </w:tcPr>
          <w:p>
            <w:r>
              <w:rPr>
                <w:b/>
                <w:bCs/>
                <w:sz w:val="19"/>
                <w:szCs w:val="19"/>
              </w:rPr>
              <w:t xml:space="preserve">Právny základ</w:t>
            </w:r>
          </w:p>
        </w:tc>
        <w:tc>
          <w:tcPr>
            <w:tcW w:type="dxa" w:w="3026"/>
            <w:tcBorders>
              <w:top w:val="single" w:color="BBBBBB" w:sz="2"/>
              <w:left w:val="single" w:color="BBBBBB" w:sz="2"/>
              <w:bottom w:val="single" w:color="BBBBBB" w:sz="2"/>
              <w:right w:val="single" w:color="BBBBBB" w:sz="2"/>
            </w:tcBorders>
            <w:shd w:fill="E8EDF2" w:val="clear"/>
            <w:tcMar>
              <w:top w:type="dxa" w:w="80"/>
              <w:left w:type="dxa" w:w="120"/>
              <w:bottom w:type="dxa" w:w="80"/>
              <w:right w:type="dxa" w:w="120"/>
            </w:tcMar>
            <w:vAlign w:val="top"/>
          </w:tcPr>
          <w:p>
            <w:r>
              <w:rPr>
                <w:b/>
                <w:bCs/>
                <w:sz w:val="19"/>
                <w:szCs w:val="19"/>
              </w:rPr>
              <w:t xml:space="preserve">Doba uchovávania</w:t>
            </w:r>
          </w:p>
        </w:tc>
      </w:tr>
      <w:tr>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Registrácia a vedenie používateľského účtu</w:t>
            </w:r>
          </w:p>
        </w:tc>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Plnenie zmluvy (čl. 6 ods. 1 písm. b GDPR)</w:t>
            </w:r>
          </w:p>
        </w:tc>
        <w:tc>
          <w:tcPr>
            <w:tcW w:type="dxa" w:w="3026"/>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Počas trvania účtu; po jeho zrušení najviac 1 rok, ak osobitný predpis nevyžaduje dlhšiu lehotu</w:t>
            </w:r>
          </w:p>
        </w:tc>
      </w:tr>
      <w:tr>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Poskytovanie členského prístupu k obsahu</w:t>
            </w:r>
          </w:p>
        </w:tc>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Plnenie zmluvy (čl. 6 ods. 1 písm. b)</w:t>
            </w:r>
          </w:p>
        </w:tc>
        <w:tc>
          <w:tcPr>
            <w:tcW w:type="dxa" w:w="3026"/>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Počas trvania členstva</w:t>
            </w:r>
          </w:p>
        </w:tc>
      </w:tr>
      <w:tr>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Spracovanie platieb, fakturácia a vedenie účtovníctva</w:t>
            </w:r>
          </w:p>
        </w:tc>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Splnenie zákonnej povinnosti (čl. 6 ods. 1 písm. c)</w:t>
            </w:r>
          </w:p>
        </w:tc>
        <w:tc>
          <w:tcPr>
            <w:tcW w:type="dxa" w:w="3026"/>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10 rokov (zákon o účtovníctve a o DPH)</w:t>
            </w:r>
          </w:p>
        </w:tc>
      </w:tr>
      <w:tr>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Komunikácia s používateľmi a vybavovanie podnetov</w:t>
            </w:r>
          </w:p>
        </w:tc>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Oprávnený záujem (čl. 6 ods. 1 písm. f) – riadne vybavenie požiadaviek</w:t>
            </w:r>
          </w:p>
        </w:tc>
        <w:tc>
          <w:tcPr>
            <w:tcW w:type="dxa" w:w="3026"/>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Najviac 3 roky od poslednej komunikácie</w:t>
            </w:r>
          </w:p>
        </w:tc>
      </w:tr>
      <w:tr>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Zabezpečenie, prevádzka a ochrana webovej stránky</w:t>
            </w:r>
          </w:p>
        </w:tc>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Oprávnený záujem (čl. 6 ods. 1 písm. f) – bezpečnosť a ochrana pred zneužitím</w:t>
            </w:r>
          </w:p>
        </w:tc>
        <w:tc>
          <w:tcPr>
            <w:tcW w:type="dxa" w:w="3026"/>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Najviac 12 mesiacov (napr. logy)</w:t>
            </w:r>
          </w:p>
        </w:tc>
      </w:tr>
      <w:tr>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Analýza návštevnosti (Google Analytics)</w:t>
            </w:r>
          </w:p>
        </w:tc>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Súhlas (čl. 6 ods. 1 písm. a)</w:t>
            </w:r>
          </w:p>
        </w:tc>
        <w:tc>
          <w:tcPr>
            <w:tcW w:type="dxa" w:w="3026"/>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Do odvolania súhlasu, najdlhšie podľa nastavenia nástroja</w:t>
            </w:r>
          </w:p>
        </w:tc>
      </w:tr>
      <w:tr>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Marketing a meranie reklamy (Meta Pixel)</w:t>
            </w:r>
          </w:p>
        </w:tc>
        <w:tc>
          <w:tcPr>
            <w:tcW w:type="dxa" w:w="3000"/>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Súhlas (čl. 6 ods. 1 písm. a)</w:t>
            </w:r>
          </w:p>
        </w:tc>
        <w:tc>
          <w:tcPr>
            <w:tcW w:type="dxa" w:w="3026"/>
            <w:tcBorders>
              <w:top w:val="single" w:color="BBBBBB" w:sz="2"/>
              <w:left w:val="single" w:color="BBBBBB" w:sz="2"/>
              <w:bottom w:val="single" w:color="BBBBBB" w:sz="2"/>
              <w:right w:val="single" w:color="BBBBBB" w:sz="2"/>
            </w:tcBorders>
            <w:tcMar>
              <w:top w:type="dxa" w:w="80"/>
              <w:left w:type="dxa" w:w="120"/>
              <w:bottom w:type="dxa" w:w="80"/>
              <w:right w:type="dxa" w:w="120"/>
            </w:tcMar>
            <w:vAlign w:val="top"/>
          </w:tcPr>
          <w:p>
            <w:r>
              <w:rPr>
                <w:b w:val="false"/>
                <w:bCs w:val="false"/>
                <w:sz w:val="19"/>
                <w:szCs w:val="19"/>
              </w:rPr>
              <w:t xml:space="preserve">Do odvolania súhlasu</w:t>
            </w:r>
          </w:p>
        </w:tc>
      </w:tr>
    </w:tbl>
    <w:p>
      <w:pPr>
        <w:spacing w:after="120" w:before="120" w:line="276"/>
      </w:pPr>
      <w:r>
        <w:rPr>
          <w:i/>
          <w:iCs/>
        </w:rPr>
        <w:t xml:space="preserve">Pri spracúvaní na základe oprávneného záujmu sú naším oprávneným záujmom najmä: zabezpečenie a ochrana webovej stránky, prevencia podvodov a zneužitia, ako aj riadna komunikácia so zákazníkmi. Proti takémuto spracúvaniu máte právo kedykoľvek namietať (pozri čl. 9).</w:t>
      </w:r>
    </w:p>
    <w:p>
      <w:pPr>
        <w:pStyle w:val="Heading1"/>
      </w:pPr>
      <w:r>
        <w:t xml:space="preserve">4. Cookies a podobné technológie</w:t>
      </w:r>
    </w:p>
    <w:p>
      <w:pPr>
        <w:spacing w:after="120" w:line="276"/>
      </w:pPr>
      <w:r>
        <w:t xml:space="preserve">Na webovej stránke používame cookies a podobné technológie, ktoré rozdeľujeme do nasledujúcich kategórií:</w:t>
      </w:r>
    </w:p>
    <w:p>
      <w:pPr>
        <w:pStyle w:val="ListParagraph"/>
        <w:numPr>
          <w:ilvl w:val="0"/>
          <w:numId w:val="2"/>
        </w:numPr>
        <w:spacing w:after="60" w:line="276"/>
      </w:pPr>
      <w:r>
        <w:rPr>
          <w:b/>
          <w:bCs/>
        </w:rPr>
        <w:t xml:space="preserve">Nevyhnutné cookies</w:t>
      </w:r>
      <w:r>
        <w:t xml:space="preserve"> – zabezpečujú základné fungovanie stránky a prihlásenie. Spracúvajú sa na základe oprávneného záujmu a nevyžadujú súhlas.</w:t>
      </w:r>
    </w:p>
    <w:p>
      <w:pPr>
        <w:pStyle w:val="ListParagraph"/>
        <w:numPr>
          <w:ilvl w:val="0"/>
          <w:numId w:val="2"/>
        </w:numPr>
        <w:spacing w:after="60" w:line="276"/>
      </w:pPr>
      <w:r>
        <w:rPr>
          <w:b/>
          <w:bCs/>
        </w:rPr>
        <w:t xml:space="preserve">Analytické cookies</w:t>
      </w:r>
      <w:r>
        <w:t xml:space="preserve"> – Google Analytics na meranie návštevnosti. Aktivujú sa až po udelení súhlasu.</w:t>
      </w:r>
    </w:p>
    <w:p>
      <w:pPr>
        <w:pStyle w:val="ListParagraph"/>
        <w:numPr>
          <w:ilvl w:val="0"/>
          <w:numId w:val="2"/>
        </w:numPr>
        <w:spacing w:after="60" w:line="276"/>
      </w:pPr>
      <w:r>
        <w:rPr>
          <w:b/>
          <w:bCs/>
        </w:rPr>
        <w:t xml:space="preserve">Marketingové cookies</w:t>
      </w:r>
      <w:r>
        <w:t xml:space="preserve"> – Meta Pixel na meranie a optimalizáciu reklamy. Aktivujú sa až po udelení súhlasu.</w:t>
      </w:r>
    </w:p>
    <w:p>
      <w:pPr>
        <w:spacing w:after="120" w:line="276"/>
      </w:pPr>
      <w:r>
        <w:t xml:space="preserve">Analytické a marketingové cookies nastavujeme až po tom, ako udelíte súhlas prostredníctvom nástroja na správu súhlasov (cookie lišta) zobrazeného pri návšteve stránky. Udelený súhlas môžete kedykoľvek odvolať alebo zmeniť svoje nastavenia prostredníctvom rovnakého nástroja, prípadne vymazaním cookies vo svojom prehliadači. Odvolanie súhlasu nemá vplyv na zákonnosť spracúvania pred jeho odvolaním.</w:t>
      </w:r>
    </w:p>
    <w:p>
      <w:pPr>
        <w:pStyle w:val="Heading1"/>
      </w:pPr>
      <w:r>
        <w:t xml:space="preserve">5. Príjemcovia a sprostredkovatelia</w:t>
      </w:r>
    </w:p>
    <w:p>
      <w:pPr>
        <w:spacing w:after="120" w:line="276"/>
      </w:pPr>
      <w:r>
        <w:t xml:space="preserve">Osobné údaje môžu byť sprístupnené nasledujúcim kategóriám príjemcov, ktorí ich spracúvajú v našom mene alebo na základe vlastnej zodpovednosti:</w:t>
      </w:r>
    </w:p>
    <w:p>
      <w:pPr>
        <w:pStyle w:val="ListParagraph"/>
        <w:numPr>
          <w:ilvl w:val="0"/>
          <w:numId w:val="2"/>
        </w:numPr>
        <w:spacing w:after="60" w:line="276"/>
      </w:pPr>
      <w:r>
        <w:t xml:space="preserve">poskytovateľ webhostingu a technickej podpory,</w:t>
      </w:r>
    </w:p>
    <w:p>
      <w:pPr>
        <w:pStyle w:val="ListParagraph"/>
        <w:numPr>
          <w:ilvl w:val="0"/>
          <w:numId w:val="2"/>
        </w:numPr>
        <w:spacing w:after="60" w:line="276"/>
      </w:pPr>
      <w:r>
        <w:t xml:space="preserve">Stripe Payments Europe, Ltd. (spracovanie platieb),</w:t>
      </w:r>
    </w:p>
    <w:p>
      <w:pPr>
        <w:pStyle w:val="ListParagraph"/>
        <w:numPr>
          <w:ilvl w:val="0"/>
          <w:numId w:val="2"/>
        </w:numPr>
        <w:spacing w:after="60" w:line="276"/>
      </w:pPr>
      <w:r>
        <w:t xml:space="preserve">Google Ireland Ltd. (Google Analytics),</w:t>
      </w:r>
    </w:p>
    <w:p>
      <w:pPr>
        <w:pStyle w:val="ListParagraph"/>
        <w:numPr>
          <w:ilvl w:val="0"/>
          <w:numId w:val="2"/>
        </w:numPr>
        <w:spacing w:after="60" w:line="276"/>
      </w:pPr>
      <w:r>
        <w:t xml:space="preserve">Meta Platforms Ireland Ltd. (Meta Pixel),</w:t>
      </w:r>
    </w:p>
    <w:p>
      <w:pPr>
        <w:pStyle w:val="ListParagraph"/>
        <w:numPr>
          <w:ilvl w:val="0"/>
          <w:numId w:val="2"/>
        </w:numPr>
        <w:spacing w:after="60" w:line="276"/>
      </w:pPr>
      <w:r>
        <w:t xml:space="preserve">poskytovatelia e-mailových a komunikačných služieb,</w:t>
      </w:r>
    </w:p>
    <w:p>
      <w:pPr>
        <w:pStyle w:val="ListParagraph"/>
        <w:numPr>
          <w:ilvl w:val="0"/>
          <w:numId w:val="2"/>
        </w:numPr>
        <w:spacing w:after="60" w:line="276"/>
      </w:pPr>
      <w:r>
        <w:t xml:space="preserve">účtovníci a daňoví poradcovia,</w:t>
      </w:r>
    </w:p>
    <w:p>
      <w:pPr>
        <w:pStyle w:val="ListParagraph"/>
        <w:numPr>
          <w:ilvl w:val="0"/>
          <w:numId w:val="2"/>
        </w:numPr>
        <w:spacing w:after="60" w:line="276"/>
      </w:pPr>
      <w:r>
        <w:t xml:space="preserve">orgány verejnej moci, ak nám to ukladá osobitný predpis.</w:t>
      </w:r>
    </w:p>
    <w:p>
      <w:pPr>
        <w:pStyle w:val="Heading1"/>
      </w:pPr>
      <w:r>
        <w:t xml:space="preserve">6. Prenos do tretích krajín</w:t>
      </w:r>
    </w:p>
    <w:p>
      <w:pPr>
        <w:spacing w:after="120" w:line="276"/>
      </w:pPr>
      <w:r>
        <w:t xml:space="preserve">Niektorí z našich poskytovateľov (najmä Stripe, Google a Meta) môžu osobné údaje spracúvať aj mimo Európskeho hospodárskeho priestoru, predovšetkým v Spojených štátoch amerických. Takýto prenos je zabezpečený primeranými zárukami podľa čl. 44 a nasl. GDPR, najmä:</w:t>
      </w:r>
    </w:p>
    <w:p>
      <w:pPr>
        <w:pStyle w:val="ListParagraph"/>
        <w:numPr>
          <w:ilvl w:val="0"/>
          <w:numId w:val="2"/>
        </w:numPr>
        <w:spacing w:after="60" w:line="276"/>
      </w:pPr>
      <w:r>
        <w:t xml:space="preserve">rozhodnutím o primeranosti v rámci EU-U.S. Data Privacy Framework, ak je príslušný príjemca certifikovaný, alebo</w:t>
      </w:r>
    </w:p>
    <w:p>
      <w:pPr>
        <w:pStyle w:val="ListParagraph"/>
        <w:numPr>
          <w:ilvl w:val="0"/>
          <w:numId w:val="2"/>
        </w:numPr>
        <w:spacing w:after="60" w:line="276"/>
      </w:pPr>
      <w:r>
        <w:t xml:space="preserve">štandardnými zmluvnými doložkami schválenými Európskou komisiou (čl. 46 GDPR).</w:t>
      </w:r>
    </w:p>
    <w:p>
      <w:pPr>
        <w:spacing w:after="120" w:line="276"/>
      </w:pPr>
      <w:r>
        <w:t xml:space="preserve">Podrobnosti o spracúvaní a zárukách jednotlivých poskytovateľov nájdete v ich zásadách ochrany súkromia, napríklad Stripe: https://stripe.com/privacy.</w:t>
      </w:r>
    </w:p>
    <w:p>
      <w:pPr>
        <w:pStyle w:val="Heading1"/>
      </w:pPr>
      <w:r>
        <w:t xml:space="preserve">7. Profilovanie a automatizované rozhodovanie</w:t>
      </w:r>
    </w:p>
    <w:p>
      <w:pPr>
        <w:spacing w:after="120" w:line="276"/>
      </w:pPr>
      <w:r>
        <w:t xml:space="preserve">Pri používaní analytických a marketingových nástrojov (Google Analytics, Meta Pixel) môže dochádzať k profilovaniu na účely merania a optimalizácie reklamy. Toto spracúvanie sa vykonáva len na základe vášho súhlasu. Nevykonávame automatizované individuálne rozhodovanie, ktoré by malo voči vám právne účinky alebo vás podobne významne ovplyvňovalo.</w:t>
      </w:r>
    </w:p>
    <w:p>
      <w:pPr>
        <w:pStyle w:val="Heading1"/>
      </w:pPr>
      <w:r>
        <w:t xml:space="preserve">8. Poskytnutie údajov ako požiadavka</w:t>
      </w:r>
    </w:p>
    <w:p>
      <w:pPr>
        <w:spacing w:after="120" w:line="276"/>
      </w:pPr>
      <w:r>
        <w:t xml:space="preserve">Poskytnutie identifikačných, kontaktných a fakturačných údajov je nevyhnutné na uzavretie a plnenie zmluvy o členstve a na splnenie zákonných povinností. Bez ich poskytnutia nie je možné zriadiť používateľský účet ani poskytnúť členský prístup. Poskytnutie údajov spracúvaných na základe súhlasu (analytika, marketing) je dobrovoľné.</w:t>
      </w:r>
    </w:p>
    <w:p>
      <w:pPr>
        <w:pStyle w:val="Heading1"/>
      </w:pPr>
      <w:r>
        <w:t xml:space="preserve">9. Práva dotknutých osôb</w:t>
      </w:r>
    </w:p>
    <w:p>
      <w:pPr>
        <w:spacing w:after="120" w:line="276"/>
      </w:pPr>
      <w:r>
        <w:t xml:space="preserve">V súvislosti so spracúvaním osobných údajov máte tieto práva:</w:t>
      </w:r>
    </w:p>
    <w:p>
      <w:pPr>
        <w:pStyle w:val="ListParagraph"/>
        <w:numPr>
          <w:ilvl w:val="0"/>
          <w:numId w:val="2"/>
        </w:numPr>
        <w:spacing w:after="60" w:line="276"/>
      </w:pPr>
      <w:r>
        <w:t xml:space="preserve">právo na prístup k osobným údajom,</w:t>
      </w:r>
    </w:p>
    <w:p>
      <w:pPr>
        <w:pStyle w:val="ListParagraph"/>
        <w:numPr>
          <w:ilvl w:val="0"/>
          <w:numId w:val="2"/>
        </w:numPr>
        <w:spacing w:after="60" w:line="276"/>
      </w:pPr>
      <w:r>
        <w:t xml:space="preserve">právo na opravu nesprávnych a doplnenie neúplných údajov,</w:t>
      </w:r>
    </w:p>
    <w:p>
      <w:pPr>
        <w:pStyle w:val="ListParagraph"/>
        <w:numPr>
          <w:ilvl w:val="0"/>
          <w:numId w:val="2"/>
        </w:numPr>
        <w:spacing w:after="60" w:line="276"/>
      </w:pPr>
      <w:r>
        <w:t xml:space="preserve">právo na výmaz („právo na zabudnutie“),</w:t>
      </w:r>
    </w:p>
    <w:p>
      <w:pPr>
        <w:pStyle w:val="ListParagraph"/>
        <w:numPr>
          <w:ilvl w:val="0"/>
          <w:numId w:val="2"/>
        </w:numPr>
        <w:spacing w:after="60" w:line="276"/>
      </w:pPr>
      <w:r>
        <w:t xml:space="preserve">právo na obmedzenie spracúvania,</w:t>
      </w:r>
    </w:p>
    <w:p>
      <w:pPr>
        <w:pStyle w:val="ListParagraph"/>
        <w:numPr>
          <w:ilvl w:val="0"/>
          <w:numId w:val="2"/>
        </w:numPr>
        <w:spacing w:after="60" w:line="276"/>
      </w:pPr>
      <w:r>
        <w:t xml:space="preserve">právo na prenosnosť údajov,</w:t>
      </w:r>
    </w:p>
    <w:p>
      <w:pPr>
        <w:pStyle w:val="ListParagraph"/>
        <w:numPr>
          <w:ilvl w:val="0"/>
          <w:numId w:val="2"/>
        </w:numPr>
        <w:spacing w:after="60" w:line="276"/>
      </w:pPr>
      <w:r>
        <w:t xml:space="preserve">právo namietať proti spracúvaniu na základe oprávneného záujmu,</w:t>
      </w:r>
    </w:p>
    <w:p>
      <w:pPr>
        <w:pStyle w:val="ListParagraph"/>
        <w:numPr>
          <w:ilvl w:val="0"/>
          <w:numId w:val="2"/>
        </w:numPr>
        <w:spacing w:after="60" w:line="276"/>
      </w:pPr>
      <w:r>
        <w:t xml:space="preserve">právo kedykoľvek odvolať udelený súhlas.</w:t>
      </w:r>
    </w:p>
    <w:p>
      <w:pPr>
        <w:spacing w:after="120" w:line="276"/>
      </w:pPr>
      <w:r>
        <w:t xml:space="preserve">Svoje práva môžete uplatniť e-mailom na adrese info@pochopto.sk. Na vašu žiadosť odpovieme bez zbytočného odkladu, najneskôr do jedného mesiaca.</w:t>
      </w:r>
    </w:p>
    <w:p>
      <w:pPr>
        <w:pStyle w:val="Heading1"/>
      </w:pPr>
      <w:r>
        <w:t xml:space="preserve">10. Právo podať sťažnosť</w:t>
      </w:r>
    </w:p>
    <w:p>
      <w:pPr>
        <w:spacing w:after="120" w:line="276"/>
      </w:pPr>
      <w:r>
        <w:t xml:space="preserve">Ak sa domnievate, že vaše osobné údaje spracúvame v rozpore s právnymi predpismi, máte právo podať sťažnosť dozornému orgánu:</w:t>
      </w:r>
    </w:p>
    <w:p>
      <w:pPr>
        <w:spacing w:after="40"/>
      </w:pPr>
      <w:r>
        <w:rPr>
          <w:b/>
          <w:bCs/>
        </w:rPr>
        <w:t xml:space="preserve">Úrad na ochranu osobných údajov Slovenskej republiky</w:t>
      </w:r>
    </w:p>
    <w:p>
      <w:pPr>
        <w:spacing w:after="120" w:line="276"/>
      </w:pPr>
      <w:r>
        <w:t xml:space="preserve">Hraničná 12, 820 07 Bratislava 27, www.uoou.sk</w:t>
      </w:r>
    </w:p>
    <w:p>
      <w:pPr>
        <w:pStyle w:val="Heading1"/>
      </w:pPr>
      <w:r>
        <w:t xml:space="preserve">11. Zabezpečenie osobných údajov</w:t>
      </w:r>
    </w:p>
    <w:p>
      <w:pPr>
        <w:spacing w:after="120" w:line="276"/>
      </w:pPr>
      <w:r>
        <w:t xml:space="preserve">Prijali sme primerané technické a organizačné opatrenia na ochranu osobných údajov pred neoprávneným prístupom, zmenou, zničením alebo stratou, najmä zabezpečený prenos údajov, riadenie prístupových oprávnení a spoluprácu s preverenými sprostredkovateľmi.</w:t>
      </w:r>
    </w:p>
    <w:p>
      <w:pPr>
        <w:pStyle w:val="Heading1"/>
      </w:pPr>
      <w:r>
        <w:t xml:space="preserve">12. Záverečné ustanovenia</w:t>
      </w:r>
    </w:p>
    <w:p>
      <w:pPr>
        <w:spacing w:after="120" w:line="276"/>
      </w:pPr>
      <w:r>
        <w:t xml:space="preserve">Tieto zásady ochrany osobných údajov môžeme priebežne aktualizovať. Aktuálne znenie je vždy dostupné na webovej stránke www.pochopto.sk. O podstatných zmenách budeme informovať vhodným spôsobom.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80"/>
      <w:jc w:val="center"/>
    </w:pPr>
    <w:rPr>
      <w:rFonts w:ascii="Arial" w:cs="Arial" w:eastAsia="Arial" w:hAnsi="Arial"/>
      <w:b/>
      <w:bCs/>
      <w:sz w:val="36"/>
      <w:szCs w:val="36"/>
    </w:rPr>
  </w:style>
  <w:style w:type="paragraph" w:styleId="Heading1">
    <w:name w:val="Heading 1"/>
    <w:basedOn w:val="Normal"/>
    <w:next w:val="Normal"/>
    <w:qFormat/>
    <w:pPr>
      <w:pBdr>
        <w:bottom w:val="single" w:color="BBBBBB" w:sz="4" w:space="4"/>
      </w:pBdr>
      <w:spacing w:after="120" w:before="280"/>
      <w:outlineLvl w:val="0"/>
    </w:pPr>
    <w:rPr>
      <w:rFonts w:ascii="Arial" w:cs="Arial" w:eastAsia="Arial" w:hAnsi="Arial"/>
      <w:b/>
      <w:bCs/>
      <w:color w:val="1A1A1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2026-06-21T14:53:31.179Z</dcterms:created>
  <dcterms:modified xsi:type="dcterms:W3CDTF">2026-06-21T14:53:31.200Z</dcterms:modified>
</cp:coreProperties>
</file>

<file path=docProps/custom.xml><?xml version="1.0" encoding="utf-8"?>
<Properties xmlns="http://schemas.openxmlformats.org/officeDocument/2006/custom-properties" xmlns:vt="http://schemas.openxmlformats.org/officeDocument/2006/docPropsVTypes"/>
</file>